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Коммерческое предложение</w:t>
      </w:r>
    </w:p>
    <w:p>
      <w:r>
        <w:t>Учебный пример заполнения. Модель, суммы и сроки условные. Не является действующим предложением, подтверждением рыночной цены или подбором оборудования.</w:t>
      </w:r>
    </w:p>
    <w:p>
      <w:r>
        <w:t>КП № УЧ-01 от 19 сентября 2026 года. Цены действуют до 30 сентября 2026 года включительно.</w:t>
      </w:r>
    </w:p>
    <w:p>
      <w:pPr>
        <w:pStyle w:val="Heading1"/>
      </w:pPr>
      <w:r>
        <w:t>Поставщик и получатель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6696"/>
      </w:tblGrid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rPr>
                <w:b/>
              </w:rPr>
              <w:t>Поставщик</w:t>
            </w:r>
          </w:p>
        </w:tc>
        <w:tc>
          <w:tcPr>
            <w:tcW w:type="dxa" w:w="6696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t>[Наименование организации или ИП]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rPr>
                <w:b/>
              </w:rPr>
              <w:t>ИНН и контакты</w:t>
            </w:r>
          </w:p>
        </w:tc>
        <w:tc>
          <w:tcPr>
            <w:tcW w:type="dxa" w:w="6696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t>[ИНН] · [телефон] · [электронная почта]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rPr>
                <w:b/>
              </w:rPr>
              <w:t>Сайт и исполнитель</w:t>
            </w:r>
          </w:p>
        </w:tc>
        <w:tc>
          <w:tcPr>
            <w:tcW w:type="dxa" w:w="6696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t>[Сайт при наличии] · [Фамилия, инициалы или иные сведения об исполнителе при наличии]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rPr>
                <w:b/>
              </w:rPr>
              <w:t>Получатель и объект</w:t>
            </w:r>
          </w:p>
        </w:tc>
        <w:tc>
          <w:tcPr>
            <w:tcW w:type="dxa" w:w="6696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t>[Получатель] · [Объект, раздел и позиция спецификации]</w:t>
            </w:r>
          </w:p>
        </w:tc>
      </w:tr>
    </w:tbl>
    <w:p>
      <w:pPr>
        <w:spacing w:after="0"/>
      </w:pPr>
    </w:p>
    <w:p>
      <w:pPr>
        <w:pStyle w:val="Heading1"/>
      </w:pPr>
      <w:r>
        <w:t>Предмет предложения</w:t>
      </w:r>
    </w:p>
    <w:p>
      <w:r>
        <w:t>Кран шаровой стальной фланцевый DN 50, PN 16, ручное управление. Учебная модель КШ-50-16. В комплекте кран с ручкой; ответные фланцы, прокладки и крепёж не включены.</w:t>
      </w:r>
    </w:p>
    <w:p>
      <w:pPr>
        <w:pStyle w:val="Heading1"/>
      </w:pPr>
      <w:r>
        <w:t>Цена предложения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6696"/>
      </w:tblGrid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rPr>
                <w:b/>
              </w:rPr>
              <w:t>Единица и количество</w:t>
            </w:r>
          </w:p>
        </w:tc>
        <w:tc>
          <w:tcPr>
            <w:tcW w:type="dxa" w:w="6696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t>Штука · 2 шт.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rPr>
                <w:b/>
              </w:rPr>
              <w:t>Цена единицы без НДС</w:t>
            </w:r>
          </w:p>
        </w:tc>
        <w:tc>
          <w:tcPr>
            <w:tcW w:type="dxa" w:w="6696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t>10 000 руб.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rPr>
                <w:b/>
              </w:rPr>
              <w:t>НДС на единицу</w:t>
            </w:r>
          </w:p>
        </w:tc>
        <w:tc>
          <w:tcPr>
            <w:tcW w:type="dxa" w:w="6696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t>22% · 2 200 руб.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rPr>
                <w:b/>
              </w:rPr>
              <w:t>Цена единицы с НДС</w:t>
            </w:r>
          </w:p>
        </w:tc>
        <w:tc>
          <w:tcPr>
            <w:tcW w:type="dxa" w:w="6696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t>12 200 руб.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rPr>
                <w:b/>
              </w:rPr>
              <w:t>Итого за количество</w:t>
            </w:r>
          </w:p>
        </w:tc>
        <w:tc>
          <w:tcPr>
            <w:tcW w:type="dxa" w:w="6696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t>24 400 руб., в том числе НДС 4 400 руб.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Title"/>
      </w:pPr>
      <w:r>
        <w:t>Условия и подтверждение предложения</w:t>
      </w:r>
    </w:p>
    <w:p>
      <w:r>
        <w:t>Продолжение КП № УЧ-01 от 19.09.2026.</w:t>
      </w:r>
    </w:p>
    <w:p>
      <w:pPr>
        <w:pStyle w:val="Heading1"/>
      </w:pPr>
      <w:r>
        <w:t>Состав затрат и поставка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6696"/>
      </w:tblGrid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rPr>
                <w:b/>
              </w:rPr>
              <w:t>Получение и перевозка</w:t>
            </w:r>
          </w:p>
        </w:tc>
        <w:tc>
          <w:tcPr>
            <w:tcW w:type="dxa" w:w="6696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t>Самовывоз; перевозка в цену не включена.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rPr>
                <w:b/>
              </w:rPr>
              <w:t>Адрес отгрузки</w:t>
            </w:r>
          </w:p>
        </w:tc>
        <w:tc>
          <w:tcPr>
            <w:tcW w:type="dxa" w:w="6696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t>[Фактический адрес склада заполняет поставщик.]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rPr>
                <w:b/>
              </w:rPr>
              <w:t>Упаковка</w:t>
            </w:r>
          </w:p>
        </w:tc>
        <w:tc>
          <w:tcPr>
            <w:tcW w:type="dxa" w:w="6696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t>Стандартная упаковка включена.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rPr>
                <w:b/>
              </w:rPr>
              <w:t>Шефмонтаж и шефналадка</w:t>
            </w:r>
          </w:p>
        </w:tc>
        <w:tc>
          <w:tcPr>
            <w:tcW w:type="dxa" w:w="6696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t>Не предлагаются, стоимость в цену не включена.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rPr>
                <w:b/>
              </w:rPr>
              <w:t>Другие затраты</w:t>
            </w:r>
          </w:p>
        </w:tc>
        <w:tc>
          <w:tcPr>
            <w:tcW w:type="dxa" w:w="6696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t>Иные услуги в учебном примере не предлагаются.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rPr>
                <w:b/>
              </w:rPr>
              <w:t>Наличие и срок</w:t>
            </w:r>
          </w:p>
        </w:tc>
        <w:tc>
          <w:tcPr>
            <w:tcW w:type="dxa" w:w="6696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t>Под заказ. 20 календарных дней после поступления полной предоплаты — учебное условие.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rPr>
                <w:b/>
              </w:rPr>
              <w:t>Условия оплаты</w:t>
            </w:r>
          </w:p>
        </w:tc>
        <w:tc>
          <w:tcPr>
            <w:tcW w:type="dxa" w:w="6696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t>Полная предоплата — учебное условие.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rPr>
                <w:b/>
              </w:rPr>
              <w:t>Валюта и пересчёт</w:t>
            </w:r>
          </w:p>
        </w:tc>
        <w:tc>
          <w:tcPr>
            <w:tcW w:type="dxa" w:w="6696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t>Рубли. Валютный пересчёт в примере не применяется.</w:t>
            </w:r>
          </w:p>
        </w:tc>
      </w:tr>
    </w:tbl>
    <w:p>
      <w:pPr>
        <w:spacing w:after="0"/>
      </w:pPr>
    </w:p>
    <w:p>
      <w:pPr>
        <w:pStyle w:val="Heading1"/>
      </w:pPr>
      <w:r>
        <w:t>Приложения и подписание</w:t>
      </w:r>
    </w:p>
    <w:p>
      <w:r>
        <w:t>[Приложения, к которым относится указанная цена: спецификация, схема, опросный лист; номер, дата и версия каждого. Укажите границы комплекта и исключённые элементы.]</w:t>
      </w:r>
    </w:p>
    <w:p>
      <w:r>
        <w:t>Уполномоченное лицо поставщика: [должность, ФИО или иные идентифицирующие сведения].</w:t>
      </w:r>
    </w:p>
    <w:p>
      <w:r>
        <w:t>Подпись: ____________________    Дата: ____________________</w:t>
      </w:r>
    </w:p>
    <w:p>
      <w:r>
        <w:t>Способ подписания — по применимым требованиям. Для ТКП учитываются дополнительные требования п. 17 Методики № 421/пр, включая заверение уполномоченными лицами производителя и печать при наличии.</w:t>
      </w:r>
    </w:p>
    <w:p>
      <w:r>
        <w:rPr>
          <w:sz w:val="18"/>
        </w:rPr>
        <w:t>Памятка к бланку: сведения по п. 15 проверяются вместе с техническим содержанием и оформлением по пп. 14–17. Пустой бланк и учебный пример не подтверждают цену. Заполняет и подписывает документ соответствующее уполномоченное лицо.</w:t>
      </w:r>
    </w:p>
    <w:p>
      <w:r>
        <w:rPr>
          <w:sz w:val="18"/>
        </w:rPr>
        <w:t>Разбор заполнения: https://xn--i1abalabdtrk7esa6a.xn--p1ai/blog/rekvizity-kp-dlya-kac/</w:t>
      </w:r>
    </w:p>
    <w:sectPr w:rsidR="00FC693F" w:rsidRPr="0006063C" w:rsidSect="00034616">
      <w:footerReference w:type="default" r:id="rId9"/>
      <w:pgSz w:w="12240" w:h="15840"/>
      <w:pgMar w:top="936" w:right="1296" w:bottom="93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666666"/>
        <w:sz w:val="18"/>
      </w:rPr>
      <w:t xml:space="preserve">Конъюнктура · редакционный образец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20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Учебный пример коммерческого предложения для КАЦ</dc:title>
  <dc:subject>Редакционный образец для адаптации поставщиком</dc:subject>
  <dc:creator>Конъюнктура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